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2B5" w:rsidRPr="00B05A50" w:rsidRDefault="00A772B5" w:rsidP="00A772B5">
      <w:pPr>
        <w:bidi/>
        <w:jc w:val="center"/>
        <w:rPr>
          <w:rFonts w:ascii="Simplified Arabic" w:hAnsi="Simplified Arabic"/>
          <w:b/>
          <w:bCs/>
          <w:color w:val="000000" w:themeColor="text1"/>
          <w:sz w:val="32"/>
          <w:szCs w:val="32"/>
          <w:rtl/>
          <w:lang w:bidi="ar-JO"/>
        </w:rPr>
      </w:pPr>
      <w:r w:rsidRPr="00B05A50">
        <w:rPr>
          <w:rFonts w:ascii="Simplified Arabic" w:hAnsi="Simplified Arabic" w:hint="cs"/>
          <w:b/>
          <w:bCs/>
          <w:color w:val="000000" w:themeColor="text1"/>
          <w:sz w:val="32"/>
          <w:szCs w:val="32"/>
          <w:rtl/>
          <w:lang w:bidi="ar-JO"/>
        </w:rPr>
        <w:t>م</w:t>
      </w:r>
      <w:r w:rsidRPr="00B05A50">
        <w:rPr>
          <w:rFonts w:ascii="Simplified Arabic" w:hAnsi="Simplified Arabic"/>
          <w:b/>
          <w:bCs/>
          <w:color w:val="000000" w:themeColor="text1"/>
          <w:sz w:val="32"/>
          <w:szCs w:val="32"/>
          <w:rtl/>
          <w:lang w:bidi="ar-JO"/>
        </w:rPr>
        <w:t xml:space="preserve">ديرية </w:t>
      </w:r>
      <w:r w:rsidRPr="00B05A50">
        <w:rPr>
          <w:rFonts w:ascii="Simplified Arabic" w:hAnsi="Simplified Arabic" w:hint="cs"/>
          <w:b/>
          <w:bCs/>
          <w:color w:val="000000" w:themeColor="text1"/>
          <w:sz w:val="32"/>
          <w:szCs w:val="32"/>
          <w:rtl/>
          <w:lang w:bidi="ar-JO"/>
        </w:rPr>
        <w:t xml:space="preserve">التخطيط والدراسات </w:t>
      </w:r>
    </w:p>
    <w:p w:rsidR="00A772B5" w:rsidRDefault="00A772B5" w:rsidP="00A772B5">
      <w:pPr>
        <w:bidi/>
        <w:jc w:val="center"/>
        <w:rPr>
          <w:rFonts w:ascii="Simplified Arabic" w:hAnsi="Simplified Arabic"/>
          <w:b/>
          <w:bCs/>
          <w:color w:val="FF0000"/>
          <w:sz w:val="32"/>
          <w:szCs w:val="32"/>
          <w:rtl/>
          <w:lang w:bidi="ar-JO"/>
        </w:rPr>
      </w:pPr>
    </w:p>
    <w:p w:rsidR="00A772B5" w:rsidRPr="00A772B5" w:rsidRDefault="00A772B5" w:rsidP="00A772B5">
      <w:pPr>
        <w:bidi/>
        <w:jc w:val="center"/>
        <w:rPr>
          <w:rFonts w:ascii="Simplified Arabic" w:hAnsi="Simplified Arabic"/>
          <w:b/>
          <w:bCs/>
          <w:color w:val="FF0000"/>
          <w:sz w:val="32"/>
          <w:szCs w:val="32"/>
          <w:lang w:bidi="ar-JO"/>
        </w:rPr>
      </w:pPr>
    </w:p>
    <w:p w:rsidR="00A772B5" w:rsidRDefault="00A772B5" w:rsidP="00A772B5">
      <w:pPr>
        <w:bidi/>
        <w:rPr>
          <w:rFonts w:asciiTheme="minorHAnsi" w:hAnsiTheme="minorHAnsi" w:cstheme="minorHAnsi"/>
          <w:b/>
          <w:bCs/>
          <w:color w:val="000000" w:themeColor="text1"/>
          <w:sz w:val="32"/>
          <w:szCs w:val="32"/>
          <w:u w:val="single"/>
          <w:rtl/>
          <w:lang w:bidi="ar-JO"/>
        </w:rPr>
      </w:pPr>
      <w:r w:rsidRPr="00B05A50">
        <w:rPr>
          <w:rFonts w:asciiTheme="minorHAnsi" w:hAnsiTheme="minorHAnsi" w:cstheme="minorHAnsi"/>
          <w:b/>
          <w:bCs/>
          <w:color w:val="000000" w:themeColor="text1"/>
          <w:sz w:val="32"/>
          <w:szCs w:val="32"/>
          <w:u w:val="single"/>
          <w:rtl/>
          <w:lang w:bidi="ar-JO"/>
        </w:rPr>
        <w:t>المهام والواجبات الرئيسية:</w:t>
      </w:r>
    </w:p>
    <w:p w:rsidR="00E13057" w:rsidRPr="007124AD" w:rsidRDefault="00E13057" w:rsidP="00E13057">
      <w:pPr>
        <w:bidi/>
        <w:rPr>
          <w:rFonts w:asciiTheme="minorHAnsi" w:hAnsiTheme="minorHAnsi" w:cstheme="minorHAnsi"/>
          <w:b/>
          <w:bCs/>
          <w:color w:val="000000" w:themeColor="text1"/>
          <w:sz w:val="10"/>
          <w:szCs w:val="10"/>
          <w:u w:val="single"/>
          <w:rtl/>
          <w:lang w:bidi="ar-JO"/>
        </w:rPr>
      </w:pPr>
    </w:p>
    <w:p w:rsidR="00E13057" w:rsidRPr="00E13057" w:rsidRDefault="00A772B5" w:rsidP="00E13057">
      <w:pPr>
        <w:keepLines/>
        <w:numPr>
          <w:ilvl w:val="0"/>
          <w:numId w:val="5"/>
        </w:numPr>
        <w:bidi/>
        <w:spacing w:before="120" w:after="100" w:afterAutospacing="1" w:line="276" w:lineRule="auto"/>
        <w:ind w:left="368" w:hanging="284"/>
        <w:jc w:val="highKashida"/>
        <w:rPr>
          <w:rFonts w:asciiTheme="minorHAnsi" w:hAnsiTheme="minorHAnsi" w:cstheme="minorHAnsi"/>
          <w:sz w:val="32"/>
          <w:szCs w:val="32"/>
          <w:rtl/>
        </w:rPr>
      </w:pPr>
      <w:r w:rsidRPr="00B05A50">
        <w:rPr>
          <w:rFonts w:asciiTheme="minorHAnsi" w:hAnsiTheme="minorHAnsi" w:cstheme="minorHAnsi"/>
          <w:sz w:val="32"/>
          <w:szCs w:val="32"/>
          <w:rtl/>
        </w:rPr>
        <w:t xml:space="preserve">إدارة وتوجيه عمليات وسياسات تخطيط النقل للوزارة، وضمان استجابة نشاطات المديرية لاحتياجات كافة </w:t>
      </w:r>
      <w:r w:rsidRPr="00B05A50">
        <w:rPr>
          <w:rFonts w:asciiTheme="majorBidi" w:hAnsiTheme="majorBidi" w:cstheme="majorBidi"/>
          <w:sz w:val="32"/>
          <w:szCs w:val="32"/>
          <w:rtl/>
        </w:rPr>
        <w:t>الشركاء</w:t>
      </w:r>
      <w:r w:rsidRPr="00B05A50">
        <w:rPr>
          <w:rFonts w:asciiTheme="minorHAnsi" w:hAnsiTheme="minorHAnsi" w:cstheme="minorHAnsi"/>
          <w:sz w:val="32"/>
          <w:szCs w:val="32"/>
          <w:rtl/>
        </w:rPr>
        <w:t xml:space="preserve"> من كافة الاطياف في قطاع النقل.</w:t>
      </w:r>
    </w:p>
    <w:p w:rsidR="00A772B5" w:rsidRPr="00B05A50" w:rsidRDefault="00A772B5" w:rsidP="00E13057">
      <w:pPr>
        <w:pStyle w:val="ListParagraph"/>
        <w:numPr>
          <w:ilvl w:val="0"/>
          <w:numId w:val="5"/>
        </w:numPr>
        <w:spacing w:line="276" w:lineRule="auto"/>
        <w:ind w:left="368" w:hanging="28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متابعة سياسات التطوير الحكومية الرئيسية وتحليل الاثر على قطاع النقل.</w:t>
      </w:r>
    </w:p>
    <w:p w:rsidR="00A772B5" w:rsidRPr="00B05A50" w:rsidRDefault="00A772B5" w:rsidP="00E13057">
      <w:pPr>
        <w:keepLines/>
        <w:numPr>
          <w:ilvl w:val="0"/>
          <w:numId w:val="5"/>
        </w:numPr>
        <w:bidi/>
        <w:spacing w:before="120" w:after="100" w:afterAutospacing="1" w:line="276" w:lineRule="auto"/>
        <w:ind w:left="368" w:hanging="284"/>
        <w:jc w:val="highKashida"/>
        <w:rPr>
          <w:rFonts w:asciiTheme="minorHAnsi" w:hAnsiTheme="minorHAnsi" w:cstheme="minorHAnsi"/>
          <w:sz w:val="32"/>
          <w:szCs w:val="32"/>
        </w:rPr>
      </w:pPr>
      <w:r w:rsidRPr="00B05A50">
        <w:rPr>
          <w:rFonts w:asciiTheme="minorHAnsi" w:hAnsiTheme="minorHAnsi" w:cstheme="minorHAnsi"/>
          <w:sz w:val="32"/>
          <w:szCs w:val="32"/>
          <w:rtl/>
        </w:rPr>
        <w:t>تطوير وتحديث سياسات قطاع النقل والتخطيط الاستراتيجي من حيث تطوير سياسة نقل وطنية مستدامة لتعزيز كافة انماط النقل</w:t>
      </w:r>
      <w:r w:rsidRPr="00B05A50">
        <w:rPr>
          <w:rFonts w:asciiTheme="minorHAnsi" w:eastAsia="Calibri" w:hAnsiTheme="minorHAnsi" w:cstheme="minorHAnsi"/>
          <w:color w:val="000000" w:themeColor="text1"/>
          <w:sz w:val="32"/>
          <w:szCs w:val="32"/>
          <w:rtl/>
        </w:rPr>
        <w:t xml:space="preserve"> من اجل ضمان كفاءة انظمة النقل وسلامتها وضمان التجاوب مع متطلبات قطاع النقل.</w:t>
      </w:r>
    </w:p>
    <w:p w:rsidR="00A772B5" w:rsidRPr="00B05A50" w:rsidRDefault="00A772B5" w:rsidP="00E13057">
      <w:pPr>
        <w:pStyle w:val="ListParagraph"/>
        <w:numPr>
          <w:ilvl w:val="0"/>
          <w:numId w:val="5"/>
        </w:numPr>
        <w:spacing w:line="276" w:lineRule="auto"/>
        <w:ind w:left="368" w:hanging="28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تطوير سياسة نقل وطنية مستدامة لتعزيز كافة انماط النقل، مع رؤية لضمان انظمة الكفاءة والامن والسلامة في قطاع النقل، وضمان التجاوب مع متطلبات قطاع النقل.</w:t>
      </w:r>
    </w:p>
    <w:p w:rsidR="00A772B5" w:rsidRPr="00B05A50" w:rsidRDefault="00A772B5" w:rsidP="00E13057">
      <w:pPr>
        <w:pStyle w:val="ListParagraph"/>
        <w:numPr>
          <w:ilvl w:val="0"/>
          <w:numId w:val="5"/>
        </w:numPr>
        <w:spacing w:line="276" w:lineRule="auto"/>
        <w:ind w:left="368" w:hanging="28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مراجعة وتحديث سياسات قطاع النقل بالتنسيق مع الجهات/السلطات ذات العلاقة للاستجابة للمتغيرات والمتطلبات والاحتياجات التي تطرأ على قطاع النقل في حينه.</w:t>
      </w:r>
    </w:p>
    <w:p w:rsidR="00A772B5" w:rsidRPr="00B05A50" w:rsidRDefault="00A772B5" w:rsidP="00E13057">
      <w:pPr>
        <w:pStyle w:val="ListParagraph"/>
        <w:numPr>
          <w:ilvl w:val="0"/>
          <w:numId w:val="5"/>
        </w:numPr>
        <w:spacing w:line="276" w:lineRule="auto"/>
        <w:ind w:left="368" w:hanging="28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تطوير استراتيجيات قطاع النقل في ضوء سياسة النقل الوطنية للنقل على الطرق والسكك والنقل الجوي والبحري، شاملة جدول زمني ومراحل التنفيذ والمسؤوليات الادارية والخطط المالية.</w:t>
      </w:r>
    </w:p>
    <w:p w:rsidR="00A772B5" w:rsidRPr="00B05A50" w:rsidRDefault="00A772B5" w:rsidP="00E13057">
      <w:pPr>
        <w:pStyle w:val="ListParagraph"/>
        <w:numPr>
          <w:ilvl w:val="0"/>
          <w:numId w:val="5"/>
        </w:numPr>
        <w:spacing w:line="276" w:lineRule="auto"/>
        <w:ind w:left="368" w:hanging="28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 xml:space="preserve">تطوير مؤشرات الاداء الرئيسية </w:t>
      </w:r>
      <w:r w:rsidRPr="00B05A50">
        <w:rPr>
          <w:rFonts w:asciiTheme="minorHAnsi" w:hAnsiTheme="minorHAnsi" w:cstheme="minorHAnsi"/>
          <w:sz w:val="32"/>
          <w:szCs w:val="32"/>
          <w:lang w:bidi="ar-JO"/>
        </w:rPr>
        <w:t>(KPIs)</w:t>
      </w:r>
      <w:r w:rsidRPr="00B05A50">
        <w:rPr>
          <w:rFonts w:asciiTheme="minorHAnsi" w:hAnsiTheme="minorHAnsi" w:cstheme="minorHAnsi"/>
          <w:sz w:val="32"/>
          <w:szCs w:val="32"/>
          <w:rtl/>
          <w:lang w:bidi="ar-JO"/>
        </w:rPr>
        <w:t xml:space="preserve"> وتحديد معايير الاداء التي تساعد مديرية متابعة وتقييم النقل في تقييم فعالية عملية تنفيذ الاستراتيجية، وتتبع التقدم في مختلف المراحل وتصويب الاوضاع حيثما كان ذلك مطلوباً.</w:t>
      </w:r>
    </w:p>
    <w:p w:rsidR="00A772B5" w:rsidRPr="00B05A50" w:rsidRDefault="00A772B5" w:rsidP="00E13057">
      <w:pPr>
        <w:pStyle w:val="ListParagraph"/>
        <w:numPr>
          <w:ilvl w:val="0"/>
          <w:numId w:val="5"/>
        </w:numPr>
        <w:spacing w:line="276" w:lineRule="auto"/>
        <w:ind w:left="368" w:hanging="28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المشاركة في تخطيط وتطوير مشاريع النقل الرئيسية.</w:t>
      </w:r>
    </w:p>
    <w:p w:rsidR="00A772B5" w:rsidRPr="00B05A50" w:rsidRDefault="00A772B5" w:rsidP="00E13057">
      <w:pPr>
        <w:pStyle w:val="ListParagraph"/>
        <w:numPr>
          <w:ilvl w:val="0"/>
          <w:numId w:val="5"/>
        </w:numPr>
        <w:spacing w:line="276" w:lineRule="auto"/>
        <w:ind w:left="368" w:hanging="28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التخطيط لموارد مشاريع النقل والدراسات المتعلقة بها.</w:t>
      </w:r>
    </w:p>
    <w:p w:rsidR="00A772B5" w:rsidRPr="00B05A50" w:rsidRDefault="00A772B5" w:rsidP="00E13057">
      <w:pPr>
        <w:pStyle w:val="ListParagraph"/>
        <w:numPr>
          <w:ilvl w:val="0"/>
          <w:numId w:val="5"/>
        </w:numPr>
        <w:spacing w:line="276" w:lineRule="auto"/>
        <w:ind w:left="368" w:hanging="28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lastRenderedPageBreak/>
        <w:t>تحضير خطط مشاريع مقترحة في قطاع النقل بالتنسيق مع الجهات المعنية وتقديم هذه المقترحات لوزارة التخطيط والتعاون الدولي.</w:t>
      </w:r>
    </w:p>
    <w:p w:rsidR="00A772B5" w:rsidRPr="00B05A50" w:rsidRDefault="00A772B5" w:rsidP="00E13057">
      <w:pPr>
        <w:pStyle w:val="ListParagraph"/>
        <w:numPr>
          <w:ilvl w:val="0"/>
          <w:numId w:val="5"/>
        </w:numPr>
        <w:spacing w:line="276" w:lineRule="auto"/>
        <w:ind w:left="368" w:hanging="284"/>
        <w:jc w:val="highKashida"/>
        <w:rPr>
          <w:rFonts w:asciiTheme="minorHAnsi" w:hAnsiTheme="minorHAnsi" w:cstheme="minorHAnsi"/>
          <w:sz w:val="32"/>
          <w:szCs w:val="32"/>
          <w:rtl/>
          <w:lang w:bidi="ar-JO"/>
        </w:rPr>
      </w:pPr>
      <w:r w:rsidRPr="00B05A50">
        <w:rPr>
          <w:rFonts w:asciiTheme="minorHAnsi" w:hAnsiTheme="minorHAnsi" w:cstheme="minorHAnsi"/>
          <w:sz w:val="32"/>
          <w:szCs w:val="32"/>
          <w:rtl/>
          <w:lang w:bidi="ar-JO"/>
        </w:rPr>
        <w:t>اعداد دراسات جدوى واعداد ابحاث لقطاع نقل متطور، لتحسين كفاءة هذا القطاع، واصدار تقارير ونشرات دورية بهذا الخصوص.</w:t>
      </w:r>
    </w:p>
    <w:p w:rsidR="00A772B5" w:rsidRPr="00B05A50" w:rsidRDefault="00A772B5" w:rsidP="00E13057">
      <w:pPr>
        <w:tabs>
          <w:tab w:val="right" w:pos="146"/>
        </w:tabs>
        <w:bidi/>
        <w:spacing w:line="276" w:lineRule="auto"/>
        <w:ind w:left="4"/>
        <w:jc w:val="highKashida"/>
        <w:rPr>
          <w:rFonts w:asciiTheme="minorHAnsi" w:hAnsiTheme="minorHAnsi" w:cstheme="minorHAnsi"/>
          <w:sz w:val="32"/>
          <w:szCs w:val="32"/>
          <w:rtl/>
          <w:lang w:bidi="ar-JO"/>
        </w:rPr>
      </w:pPr>
    </w:p>
    <w:p w:rsidR="00A772B5" w:rsidRDefault="00A772B5" w:rsidP="00E13057">
      <w:pPr>
        <w:bidi/>
        <w:spacing w:line="276" w:lineRule="auto"/>
        <w:ind w:left="4"/>
        <w:rPr>
          <w:rFonts w:asciiTheme="minorHAnsi" w:hAnsiTheme="minorHAnsi" w:cstheme="minorHAnsi"/>
          <w:b/>
          <w:bCs/>
          <w:color w:val="000000" w:themeColor="text1"/>
          <w:sz w:val="32"/>
          <w:szCs w:val="32"/>
          <w:u w:val="single"/>
          <w:rtl/>
          <w:lang w:bidi="ar-JO"/>
        </w:rPr>
      </w:pPr>
      <w:r w:rsidRPr="00B05A50">
        <w:rPr>
          <w:rFonts w:asciiTheme="minorHAnsi" w:hAnsiTheme="minorHAnsi" w:cstheme="minorHAnsi"/>
          <w:b/>
          <w:bCs/>
          <w:color w:val="000000" w:themeColor="text1"/>
          <w:sz w:val="32"/>
          <w:szCs w:val="32"/>
          <w:u w:val="single"/>
          <w:rtl/>
          <w:lang w:bidi="ar-JO"/>
        </w:rPr>
        <w:t>قسم</w:t>
      </w:r>
      <w:r w:rsidRPr="00B05A50">
        <w:rPr>
          <w:rFonts w:asciiTheme="minorHAnsi" w:hAnsiTheme="minorHAnsi" w:cstheme="minorHAnsi"/>
          <w:b/>
          <w:bCs/>
          <w:color w:val="000000" w:themeColor="text1"/>
          <w:sz w:val="32"/>
          <w:szCs w:val="32"/>
          <w:u w:val="single"/>
          <w:lang w:bidi="ar-JO"/>
        </w:rPr>
        <w:t xml:space="preserve"> </w:t>
      </w:r>
      <w:r w:rsidRPr="00B05A50">
        <w:rPr>
          <w:rFonts w:asciiTheme="minorHAnsi" w:hAnsiTheme="minorHAnsi" w:cstheme="minorHAnsi"/>
          <w:b/>
          <w:bCs/>
          <w:color w:val="000000" w:themeColor="text1"/>
          <w:sz w:val="32"/>
          <w:szCs w:val="32"/>
          <w:u w:val="single"/>
          <w:rtl/>
          <w:lang w:bidi="ar-JO"/>
        </w:rPr>
        <w:t>سياسات النقل والتخطيط الاستراتيجي</w:t>
      </w:r>
    </w:p>
    <w:p w:rsidR="00B05A50" w:rsidRPr="007124AD" w:rsidRDefault="00B05A50" w:rsidP="00E13057">
      <w:pPr>
        <w:bidi/>
        <w:spacing w:line="276" w:lineRule="auto"/>
        <w:ind w:left="4"/>
        <w:rPr>
          <w:rFonts w:asciiTheme="minorHAnsi" w:hAnsiTheme="minorHAnsi" w:cstheme="minorHAnsi"/>
          <w:b/>
          <w:bCs/>
          <w:color w:val="000000" w:themeColor="text1"/>
          <w:sz w:val="10"/>
          <w:szCs w:val="10"/>
          <w:u w:val="single"/>
          <w:lang w:bidi="ar-JO"/>
        </w:rPr>
      </w:pPr>
    </w:p>
    <w:p w:rsidR="00A772B5" w:rsidRPr="00E13057" w:rsidRDefault="00A772B5" w:rsidP="00E13057">
      <w:pPr>
        <w:pStyle w:val="ListParagraph"/>
        <w:numPr>
          <w:ilvl w:val="0"/>
          <w:numId w:val="6"/>
        </w:numPr>
        <w:spacing w:line="276" w:lineRule="auto"/>
        <w:ind w:left="368" w:hanging="36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تطوير سياسة نقل وطنية مستدامة لتعزيز كافة انماط النقل مع وجود رؤية لضمان انظمة الكفاءة والسلامة والامن وضمان التجاوب مع متطلبات قطاع النقل.</w:t>
      </w:r>
    </w:p>
    <w:p w:rsidR="00A772B5" w:rsidRPr="00B05A50" w:rsidRDefault="00A772B5" w:rsidP="00E13057">
      <w:pPr>
        <w:pStyle w:val="ListParagraph"/>
        <w:numPr>
          <w:ilvl w:val="0"/>
          <w:numId w:val="6"/>
        </w:numPr>
        <w:spacing w:line="276" w:lineRule="auto"/>
        <w:ind w:left="368" w:hanging="36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مراجعة وتحديث سياسات قطاع النقل بالتنسيق مع الجهات/السلطات ذات العلاقة للاستجابة للمتغيرات والمتطلبات والاحتياجات التي تطرأ على قطاع النقل في حينه.</w:t>
      </w:r>
    </w:p>
    <w:p w:rsidR="00A772B5" w:rsidRPr="00B05A50" w:rsidRDefault="00A772B5" w:rsidP="00E13057">
      <w:pPr>
        <w:pStyle w:val="ListParagraph"/>
        <w:numPr>
          <w:ilvl w:val="0"/>
          <w:numId w:val="6"/>
        </w:numPr>
        <w:spacing w:line="276" w:lineRule="auto"/>
        <w:ind w:left="368" w:hanging="36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تطوير استراتيجيات قطاع النقل في ضوء سياسة النقل الوطنية للنقل على الطرق والسكك والنقل الجوي والبحري، شاملة جدول زمني ومراحل التنفيذ والمسؤوليات الادارية والخطط المالية.</w:t>
      </w:r>
    </w:p>
    <w:p w:rsidR="00A772B5" w:rsidRPr="00B05A50" w:rsidRDefault="00A772B5" w:rsidP="00E13057">
      <w:pPr>
        <w:pStyle w:val="ListParagraph"/>
        <w:numPr>
          <w:ilvl w:val="0"/>
          <w:numId w:val="6"/>
        </w:numPr>
        <w:spacing w:line="276" w:lineRule="auto"/>
        <w:ind w:left="368" w:hanging="36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 xml:space="preserve">تطوير مؤشرات الاداء الرئيسية </w:t>
      </w:r>
      <w:r w:rsidRPr="00B05A50">
        <w:rPr>
          <w:rFonts w:asciiTheme="minorHAnsi" w:hAnsiTheme="minorHAnsi" w:cstheme="minorHAnsi"/>
          <w:sz w:val="32"/>
          <w:szCs w:val="32"/>
          <w:lang w:bidi="ar-JO"/>
        </w:rPr>
        <w:t>(KPIs)</w:t>
      </w:r>
      <w:r w:rsidRPr="00B05A50">
        <w:rPr>
          <w:rFonts w:asciiTheme="minorHAnsi" w:hAnsiTheme="minorHAnsi" w:cstheme="minorHAnsi"/>
          <w:sz w:val="32"/>
          <w:szCs w:val="32"/>
          <w:rtl/>
          <w:lang w:bidi="ar-JO"/>
        </w:rPr>
        <w:t xml:space="preserve"> وتحديد معايير الاداء التي تساعد مديرية متابعة وتقييم النقل في تقييم فعالية عملية تنفيذ الاستراتيجية، وتتبع التقدم في مختلف المراحل وتصويب الاوضاع حيثما كان ذلك مطلوباً.</w:t>
      </w:r>
    </w:p>
    <w:p w:rsidR="00A772B5" w:rsidRPr="00B05A50" w:rsidRDefault="00A772B5" w:rsidP="00E13057">
      <w:pPr>
        <w:pStyle w:val="ListParagraph"/>
        <w:numPr>
          <w:ilvl w:val="0"/>
          <w:numId w:val="6"/>
        </w:numPr>
        <w:spacing w:line="276" w:lineRule="auto"/>
        <w:ind w:left="368" w:hanging="36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ab/>
        <w:t>المشاركة في اعداد استراتيجيات القطاعات المتقاطعة مع قطاع النقل ومراجعة وتحديث مستمر لاستراتيجيات قطاع النقل وخطط العمل وفقاً لرؤية التحديث الاقتصادي بالتعاون مع مديرية متابعة وتقييم النقل في الوزارة وبالتنسيق مع الهيئات والمؤسسات التابعة لوزارة النقل</w:t>
      </w:r>
    </w:p>
    <w:p w:rsidR="00A772B5" w:rsidRPr="00B05A50" w:rsidRDefault="00A772B5" w:rsidP="00E13057">
      <w:pPr>
        <w:pStyle w:val="ListParagraph"/>
        <w:numPr>
          <w:ilvl w:val="0"/>
          <w:numId w:val="6"/>
        </w:numPr>
        <w:spacing w:line="276" w:lineRule="auto"/>
        <w:ind w:left="368" w:hanging="36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التواصل مع الشركاء الرئيسيين في قطاع النقل والتعرف على احتياجاتهم.</w:t>
      </w:r>
    </w:p>
    <w:p w:rsidR="00A772B5" w:rsidRDefault="00A772B5" w:rsidP="00E13057">
      <w:pPr>
        <w:pStyle w:val="ListParagraph"/>
        <w:numPr>
          <w:ilvl w:val="0"/>
          <w:numId w:val="6"/>
        </w:numPr>
        <w:spacing w:line="276" w:lineRule="auto"/>
        <w:ind w:left="368" w:hanging="364"/>
        <w:jc w:val="highKashida"/>
        <w:rPr>
          <w:rFonts w:asciiTheme="minorHAnsi" w:hAnsiTheme="minorHAnsi" w:cstheme="minorHAnsi"/>
          <w:sz w:val="32"/>
          <w:szCs w:val="32"/>
          <w:lang w:bidi="ar-JO"/>
        </w:rPr>
      </w:pPr>
      <w:r w:rsidRPr="00B05A50">
        <w:rPr>
          <w:rFonts w:asciiTheme="minorHAnsi" w:hAnsiTheme="minorHAnsi" w:cstheme="minorHAnsi"/>
          <w:sz w:val="32"/>
          <w:szCs w:val="32"/>
          <w:rtl/>
          <w:lang w:bidi="ar-JO"/>
        </w:rPr>
        <w:t>المشاركة في التخطيط والتطوير لمشاريع النقل الرئيسية.</w:t>
      </w:r>
    </w:p>
    <w:p w:rsidR="00E13057" w:rsidRPr="00B05A50" w:rsidRDefault="00E13057" w:rsidP="00E13057">
      <w:pPr>
        <w:bidi/>
        <w:spacing w:line="276" w:lineRule="auto"/>
        <w:jc w:val="highKashida"/>
        <w:rPr>
          <w:rFonts w:asciiTheme="minorHAnsi" w:hAnsiTheme="minorHAnsi" w:cstheme="minorHAnsi"/>
          <w:sz w:val="32"/>
          <w:szCs w:val="32"/>
          <w:rtl/>
          <w:lang w:bidi="ar-JO"/>
        </w:rPr>
      </w:pPr>
    </w:p>
    <w:p w:rsidR="00A772B5" w:rsidRDefault="00A772B5" w:rsidP="00E13057">
      <w:pPr>
        <w:bidi/>
        <w:spacing w:line="276" w:lineRule="auto"/>
        <w:ind w:left="4"/>
        <w:rPr>
          <w:rFonts w:asciiTheme="minorHAnsi" w:hAnsiTheme="minorHAnsi" w:cstheme="minorHAnsi"/>
          <w:b/>
          <w:bCs/>
          <w:color w:val="000000" w:themeColor="text1"/>
          <w:sz w:val="32"/>
          <w:szCs w:val="32"/>
          <w:u w:val="single"/>
          <w:rtl/>
          <w:lang w:bidi="ar-JO"/>
        </w:rPr>
      </w:pPr>
      <w:r w:rsidRPr="00B05A50">
        <w:rPr>
          <w:rFonts w:asciiTheme="minorHAnsi" w:hAnsiTheme="minorHAnsi" w:cstheme="minorHAnsi"/>
          <w:b/>
          <w:bCs/>
          <w:color w:val="000000" w:themeColor="text1"/>
          <w:sz w:val="32"/>
          <w:szCs w:val="32"/>
          <w:u w:val="single"/>
          <w:rtl/>
          <w:lang w:bidi="ar-JO"/>
        </w:rPr>
        <w:t xml:space="preserve">قسم الدراسات </w:t>
      </w:r>
      <w:r w:rsidR="00B05A50">
        <w:rPr>
          <w:rFonts w:asciiTheme="minorHAnsi" w:hAnsiTheme="minorHAnsi" w:cstheme="minorHAnsi" w:hint="cs"/>
          <w:b/>
          <w:bCs/>
          <w:color w:val="000000" w:themeColor="text1"/>
          <w:sz w:val="32"/>
          <w:szCs w:val="32"/>
          <w:u w:val="single"/>
          <w:rtl/>
          <w:lang w:bidi="ar-JO"/>
        </w:rPr>
        <w:t>والأبحاث</w:t>
      </w:r>
    </w:p>
    <w:p w:rsidR="00B05A50" w:rsidRPr="007124AD" w:rsidRDefault="00B05A50" w:rsidP="00E13057">
      <w:pPr>
        <w:bidi/>
        <w:spacing w:line="276" w:lineRule="auto"/>
        <w:ind w:left="4"/>
        <w:rPr>
          <w:rFonts w:asciiTheme="minorHAnsi" w:hAnsiTheme="minorHAnsi" w:cstheme="minorHAnsi"/>
          <w:b/>
          <w:bCs/>
          <w:color w:val="000000" w:themeColor="text1"/>
          <w:sz w:val="8"/>
          <w:szCs w:val="8"/>
          <w:u w:val="single"/>
          <w:lang w:bidi="ar-JO"/>
        </w:rPr>
      </w:pPr>
    </w:p>
    <w:p w:rsidR="00A772B5" w:rsidRPr="00E13057" w:rsidRDefault="00A772B5" w:rsidP="007124AD">
      <w:pPr>
        <w:pStyle w:val="ListParagraph"/>
        <w:numPr>
          <w:ilvl w:val="0"/>
          <w:numId w:val="7"/>
        </w:numPr>
        <w:spacing w:line="276" w:lineRule="auto"/>
        <w:ind w:left="368" w:hanging="8"/>
        <w:jc w:val="both"/>
        <w:rPr>
          <w:rFonts w:asciiTheme="minorHAnsi" w:hAnsiTheme="minorHAnsi" w:cstheme="minorHAnsi"/>
          <w:sz w:val="32"/>
          <w:szCs w:val="32"/>
          <w:lang w:bidi="ar-JO"/>
        </w:rPr>
      </w:pPr>
      <w:r w:rsidRPr="00B05A50">
        <w:rPr>
          <w:rFonts w:asciiTheme="minorHAnsi" w:hAnsiTheme="minorHAnsi" w:cstheme="minorHAnsi"/>
          <w:sz w:val="32"/>
          <w:szCs w:val="32"/>
          <w:rtl/>
          <w:lang w:bidi="ar-JO"/>
        </w:rPr>
        <w:t>تحضير (تحليل احتساب مؤشرات الاداء الرئيسية بشكل دوري وفقاً للاستراتيجية الوطنية للتخطيط طويل الامد (</w:t>
      </w:r>
      <w:r w:rsidRPr="00B05A50">
        <w:rPr>
          <w:rFonts w:asciiTheme="minorHAnsi" w:hAnsiTheme="minorHAnsi" w:cstheme="minorHAnsi"/>
          <w:sz w:val="32"/>
          <w:szCs w:val="32"/>
          <w:lang w:bidi="ar-JO"/>
        </w:rPr>
        <w:t>Long-term</w:t>
      </w:r>
      <w:r w:rsidRPr="00B05A50">
        <w:rPr>
          <w:rFonts w:asciiTheme="minorHAnsi" w:hAnsiTheme="minorHAnsi" w:cstheme="minorHAnsi"/>
          <w:sz w:val="32"/>
          <w:szCs w:val="32"/>
          <w:rtl/>
          <w:lang w:bidi="ar-JO"/>
        </w:rPr>
        <w:t>) وتقديم التقارير بهذا الخصوص الى قسم سياسات النقل والتخطيط الاستراتيجي من اجل عملية تقييم التقدم المحرز في العمل.</w:t>
      </w:r>
    </w:p>
    <w:p w:rsidR="00A772B5" w:rsidRPr="00E13057" w:rsidRDefault="00A772B5" w:rsidP="007124AD">
      <w:pPr>
        <w:pStyle w:val="ListParagraph"/>
        <w:numPr>
          <w:ilvl w:val="0"/>
          <w:numId w:val="7"/>
        </w:numPr>
        <w:spacing w:line="276" w:lineRule="auto"/>
        <w:jc w:val="both"/>
        <w:rPr>
          <w:rFonts w:asciiTheme="minorHAnsi" w:hAnsiTheme="minorHAnsi" w:cstheme="minorHAnsi"/>
          <w:sz w:val="32"/>
          <w:szCs w:val="32"/>
          <w:lang w:bidi="ar-JO"/>
        </w:rPr>
      </w:pPr>
      <w:r w:rsidRPr="00B05A50">
        <w:rPr>
          <w:rFonts w:asciiTheme="minorHAnsi" w:hAnsiTheme="minorHAnsi" w:cstheme="minorHAnsi"/>
          <w:sz w:val="32"/>
          <w:szCs w:val="32"/>
          <w:rtl/>
          <w:lang w:bidi="ar-JO"/>
        </w:rPr>
        <w:t>إعداد دراسات الجدوى الاقتصادية والفنية لمشاريع قطاع النقل، بما يشمل تحليل الجدوى والتكاليف والعوائد، وتقديم التوصيات اللازمة لصناع القرار</w:t>
      </w:r>
      <w:r w:rsidRPr="00B05A50">
        <w:rPr>
          <w:rFonts w:asciiTheme="minorHAnsi" w:hAnsiTheme="minorHAnsi" w:cstheme="minorHAnsi"/>
          <w:sz w:val="32"/>
          <w:szCs w:val="32"/>
          <w:lang w:bidi="ar-JO"/>
        </w:rPr>
        <w:t>.</w:t>
      </w:r>
    </w:p>
    <w:p w:rsidR="00A772B5" w:rsidRPr="00E13057" w:rsidRDefault="00A772B5" w:rsidP="007124AD">
      <w:pPr>
        <w:pStyle w:val="ListParagraph"/>
        <w:numPr>
          <w:ilvl w:val="0"/>
          <w:numId w:val="7"/>
        </w:numPr>
        <w:spacing w:line="276" w:lineRule="auto"/>
        <w:jc w:val="both"/>
        <w:rPr>
          <w:rFonts w:asciiTheme="minorHAnsi" w:hAnsiTheme="minorHAnsi" w:cstheme="minorHAnsi"/>
          <w:sz w:val="32"/>
          <w:szCs w:val="32"/>
          <w:lang w:bidi="ar-JO"/>
        </w:rPr>
      </w:pPr>
      <w:r w:rsidRPr="00B05A50">
        <w:rPr>
          <w:rFonts w:asciiTheme="minorHAnsi" w:hAnsiTheme="minorHAnsi" w:cstheme="minorHAnsi"/>
          <w:sz w:val="32"/>
          <w:szCs w:val="32"/>
          <w:rtl/>
          <w:lang w:bidi="ar-JO"/>
        </w:rPr>
        <w:t>إجراء الدراسات المتخصصة لتطوير وتمويل مشاريع قطاع النقل، وإعداد الأطر والتقارير ذات العلاقة بالتنسيق مع الجهات المعنية</w:t>
      </w:r>
      <w:r w:rsidRPr="00B05A50">
        <w:rPr>
          <w:rFonts w:asciiTheme="minorHAnsi" w:hAnsiTheme="minorHAnsi" w:cstheme="minorHAnsi"/>
          <w:sz w:val="32"/>
          <w:szCs w:val="32"/>
          <w:lang w:bidi="ar-JO"/>
        </w:rPr>
        <w:t>.</w:t>
      </w:r>
    </w:p>
    <w:p w:rsidR="00A772B5" w:rsidRPr="00E13057" w:rsidRDefault="00A772B5" w:rsidP="00E13057">
      <w:pPr>
        <w:pStyle w:val="ListParagraph"/>
        <w:numPr>
          <w:ilvl w:val="0"/>
          <w:numId w:val="7"/>
        </w:numPr>
        <w:spacing w:line="276" w:lineRule="auto"/>
        <w:rPr>
          <w:rFonts w:asciiTheme="minorHAnsi" w:hAnsiTheme="minorHAnsi" w:cstheme="minorHAnsi"/>
          <w:sz w:val="32"/>
          <w:szCs w:val="32"/>
          <w:lang w:bidi="ar-JO"/>
        </w:rPr>
      </w:pPr>
      <w:r w:rsidRPr="00B05A50">
        <w:rPr>
          <w:rFonts w:asciiTheme="minorHAnsi" w:hAnsiTheme="minorHAnsi" w:cstheme="minorHAnsi"/>
          <w:sz w:val="32"/>
          <w:szCs w:val="32"/>
          <w:rtl/>
          <w:lang w:bidi="ar-JO"/>
        </w:rPr>
        <w:t>إعداد التقارير الدوري</w:t>
      </w:r>
      <w:bookmarkStart w:id="0" w:name="_GoBack"/>
      <w:bookmarkEnd w:id="0"/>
      <w:r w:rsidRPr="00B05A50">
        <w:rPr>
          <w:rFonts w:asciiTheme="minorHAnsi" w:hAnsiTheme="minorHAnsi" w:cstheme="minorHAnsi"/>
          <w:sz w:val="32"/>
          <w:szCs w:val="32"/>
          <w:rtl/>
          <w:lang w:bidi="ar-JO"/>
        </w:rPr>
        <w:t>ة والتحليلية حول أداء قطاع النقل في المملكة الأردنية الهاشمية، ومتابعة مؤشرات الكفاءة والإنتاجية وجودة الخدمات</w:t>
      </w:r>
      <w:r w:rsidRPr="00B05A50">
        <w:rPr>
          <w:rFonts w:asciiTheme="minorHAnsi" w:hAnsiTheme="minorHAnsi" w:cstheme="minorHAnsi"/>
          <w:sz w:val="32"/>
          <w:szCs w:val="32"/>
          <w:lang w:bidi="ar-JO"/>
        </w:rPr>
        <w:t>.</w:t>
      </w:r>
    </w:p>
    <w:p w:rsidR="00A772B5" w:rsidRPr="00E13057" w:rsidRDefault="00A772B5" w:rsidP="00E13057">
      <w:pPr>
        <w:pStyle w:val="ListParagraph"/>
        <w:numPr>
          <w:ilvl w:val="0"/>
          <w:numId w:val="7"/>
        </w:numPr>
        <w:spacing w:line="276" w:lineRule="auto"/>
        <w:rPr>
          <w:rFonts w:asciiTheme="minorHAnsi" w:hAnsiTheme="minorHAnsi" w:cstheme="minorHAnsi"/>
          <w:sz w:val="32"/>
          <w:szCs w:val="32"/>
          <w:rtl/>
          <w:lang w:bidi="ar-JO"/>
        </w:rPr>
      </w:pPr>
      <w:r w:rsidRPr="00B05A50">
        <w:rPr>
          <w:rFonts w:asciiTheme="minorHAnsi" w:hAnsiTheme="minorHAnsi" w:cstheme="minorHAnsi"/>
          <w:sz w:val="32"/>
          <w:szCs w:val="32"/>
          <w:rtl/>
          <w:lang w:bidi="ar-JO"/>
        </w:rPr>
        <w:t>جمع وتحليل البيانات والإحصائيات المتعلقة بقطاع النقل، وبناء قواعد بيانات محدثة تدعم عمليات التخطيط واتخاذ القرار</w:t>
      </w:r>
    </w:p>
    <w:p w:rsidR="00A772B5" w:rsidRPr="00E13057" w:rsidRDefault="00A772B5" w:rsidP="00E13057">
      <w:pPr>
        <w:pStyle w:val="ListParagraph"/>
        <w:numPr>
          <w:ilvl w:val="0"/>
          <w:numId w:val="7"/>
        </w:numPr>
        <w:spacing w:line="276" w:lineRule="auto"/>
        <w:rPr>
          <w:rFonts w:asciiTheme="minorHAnsi" w:hAnsiTheme="minorHAnsi" w:cstheme="minorHAnsi"/>
          <w:sz w:val="32"/>
          <w:szCs w:val="32"/>
          <w:rtl/>
          <w:lang w:bidi="ar-JO"/>
        </w:rPr>
      </w:pPr>
      <w:r w:rsidRPr="00B05A50">
        <w:rPr>
          <w:rFonts w:asciiTheme="minorHAnsi" w:hAnsiTheme="minorHAnsi" w:cstheme="minorHAnsi"/>
          <w:sz w:val="32"/>
          <w:szCs w:val="32"/>
          <w:rtl/>
          <w:lang w:bidi="ar-JO"/>
        </w:rPr>
        <w:t>إعداد ومراجعة الخطط والدراسات الاستراتيجية الخاصة بقطاع النقل</w:t>
      </w:r>
      <w:r w:rsidR="00944F4B">
        <w:rPr>
          <w:rFonts w:asciiTheme="minorHAnsi" w:hAnsiTheme="minorHAnsi" w:cstheme="minorHAnsi" w:hint="cs"/>
          <w:sz w:val="32"/>
          <w:szCs w:val="32"/>
          <w:rtl/>
          <w:lang w:bidi="ar-JO"/>
        </w:rPr>
        <w:t xml:space="preserve"> </w:t>
      </w:r>
      <w:r w:rsidRPr="00B05A50">
        <w:rPr>
          <w:rFonts w:asciiTheme="minorHAnsi" w:hAnsiTheme="minorHAnsi" w:cstheme="minorHAnsi"/>
          <w:sz w:val="32"/>
          <w:szCs w:val="32"/>
          <w:rtl/>
          <w:lang w:bidi="ar-JO"/>
        </w:rPr>
        <w:t>بالتنسيق مع الوحدات التنظيمية ذات العلاقة</w:t>
      </w:r>
      <w:r w:rsidRPr="00B05A50">
        <w:rPr>
          <w:rFonts w:asciiTheme="minorHAnsi" w:hAnsiTheme="minorHAnsi" w:cstheme="minorHAnsi"/>
          <w:sz w:val="32"/>
          <w:szCs w:val="32"/>
          <w:lang w:bidi="ar-JO"/>
        </w:rPr>
        <w:t>.</w:t>
      </w:r>
    </w:p>
    <w:p w:rsidR="00A772B5" w:rsidRPr="00E13057" w:rsidRDefault="00A772B5" w:rsidP="00E13057">
      <w:pPr>
        <w:pStyle w:val="ListParagraph"/>
        <w:numPr>
          <w:ilvl w:val="0"/>
          <w:numId w:val="7"/>
        </w:numPr>
        <w:spacing w:line="276" w:lineRule="auto"/>
        <w:rPr>
          <w:rFonts w:asciiTheme="minorHAnsi" w:hAnsiTheme="minorHAnsi" w:cstheme="minorHAnsi"/>
          <w:sz w:val="32"/>
          <w:szCs w:val="32"/>
          <w:rtl/>
          <w:lang w:bidi="ar-JO"/>
        </w:rPr>
      </w:pPr>
      <w:r w:rsidRPr="00B05A50">
        <w:rPr>
          <w:rFonts w:asciiTheme="minorHAnsi" w:hAnsiTheme="minorHAnsi" w:cstheme="minorHAnsi"/>
          <w:sz w:val="32"/>
          <w:szCs w:val="32"/>
          <w:rtl/>
          <w:lang w:bidi="ar-JO"/>
        </w:rPr>
        <w:t>اقتراح مشاريع تطويرية ومبادرات استراتيجية للنهوض بقطاع النقل، وإعداد دراسات تفصيلية لها ورفعها للجهات المختصة</w:t>
      </w:r>
      <w:r w:rsidRPr="00B05A50">
        <w:rPr>
          <w:rFonts w:asciiTheme="minorHAnsi" w:hAnsiTheme="minorHAnsi" w:cstheme="minorHAnsi"/>
          <w:sz w:val="32"/>
          <w:szCs w:val="32"/>
          <w:lang w:bidi="ar-JO"/>
        </w:rPr>
        <w:t>.</w:t>
      </w:r>
    </w:p>
    <w:p w:rsidR="00A772B5" w:rsidRPr="00E13057" w:rsidRDefault="00A772B5" w:rsidP="00E13057">
      <w:pPr>
        <w:pStyle w:val="ListParagraph"/>
        <w:numPr>
          <w:ilvl w:val="0"/>
          <w:numId w:val="7"/>
        </w:numPr>
        <w:spacing w:line="276" w:lineRule="auto"/>
        <w:rPr>
          <w:rFonts w:asciiTheme="minorHAnsi" w:hAnsiTheme="minorHAnsi" w:cstheme="minorHAnsi"/>
          <w:sz w:val="32"/>
          <w:szCs w:val="32"/>
          <w:rtl/>
          <w:lang w:bidi="ar-JO"/>
        </w:rPr>
      </w:pPr>
      <w:r w:rsidRPr="00B05A50">
        <w:rPr>
          <w:rFonts w:asciiTheme="minorHAnsi" w:hAnsiTheme="minorHAnsi" w:cstheme="minorHAnsi"/>
          <w:sz w:val="32"/>
          <w:szCs w:val="32"/>
          <w:rtl/>
          <w:lang w:bidi="ar-JO"/>
        </w:rPr>
        <w:t>التنسيق مع الجهات المحلية والدولية والمؤسسات البحثية لتبادل الخبرات وتنفيذ الدراسات المشتركة</w:t>
      </w:r>
      <w:r w:rsidRPr="00B05A50">
        <w:rPr>
          <w:rFonts w:asciiTheme="minorHAnsi" w:hAnsiTheme="minorHAnsi" w:cstheme="minorHAnsi"/>
          <w:sz w:val="32"/>
          <w:szCs w:val="32"/>
          <w:lang w:bidi="ar-JO"/>
        </w:rPr>
        <w:t>.</w:t>
      </w:r>
    </w:p>
    <w:p w:rsidR="00A772B5" w:rsidRPr="00E13057" w:rsidRDefault="00A772B5" w:rsidP="00E13057">
      <w:pPr>
        <w:pStyle w:val="ListParagraph"/>
        <w:numPr>
          <w:ilvl w:val="0"/>
          <w:numId w:val="7"/>
        </w:numPr>
        <w:spacing w:line="276" w:lineRule="auto"/>
        <w:rPr>
          <w:rFonts w:asciiTheme="minorHAnsi" w:hAnsiTheme="minorHAnsi" w:cstheme="minorHAnsi"/>
          <w:sz w:val="32"/>
          <w:szCs w:val="32"/>
          <w:rtl/>
          <w:lang w:bidi="ar-JO"/>
        </w:rPr>
      </w:pPr>
      <w:r w:rsidRPr="00B05A50">
        <w:rPr>
          <w:rFonts w:asciiTheme="minorHAnsi" w:hAnsiTheme="minorHAnsi" w:cstheme="minorHAnsi"/>
          <w:sz w:val="32"/>
          <w:szCs w:val="32"/>
          <w:rtl/>
          <w:lang w:bidi="ar-JO"/>
        </w:rPr>
        <w:t>متابعة التقارير والدراسات الصادرة عن المنظمات الدولية والإقليمية ذات العلاقة بقطاع النقل والاستفادة منها</w:t>
      </w:r>
      <w:r w:rsidRPr="00B05A50">
        <w:rPr>
          <w:rFonts w:asciiTheme="minorHAnsi" w:hAnsiTheme="minorHAnsi" w:cstheme="minorHAnsi"/>
          <w:sz w:val="32"/>
          <w:szCs w:val="32"/>
          <w:lang w:bidi="ar-JO"/>
        </w:rPr>
        <w:t>.</w:t>
      </w:r>
    </w:p>
    <w:p w:rsidR="00A772B5" w:rsidRPr="00E13057" w:rsidRDefault="00A772B5" w:rsidP="00E13057">
      <w:pPr>
        <w:pStyle w:val="ListParagraph"/>
        <w:numPr>
          <w:ilvl w:val="0"/>
          <w:numId w:val="7"/>
        </w:numPr>
        <w:spacing w:line="276" w:lineRule="auto"/>
        <w:rPr>
          <w:rFonts w:asciiTheme="minorHAnsi" w:hAnsiTheme="minorHAnsi" w:cstheme="minorHAnsi"/>
          <w:sz w:val="32"/>
          <w:szCs w:val="32"/>
          <w:rtl/>
          <w:lang w:bidi="ar-JO"/>
        </w:rPr>
      </w:pPr>
      <w:r w:rsidRPr="00B05A50">
        <w:rPr>
          <w:rFonts w:asciiTheme="minorHAnsi" w:hAnsiTheme="minorHAnsi" w:cstheme="minorHAnsi"/>
          <w:sz w:val="32"/>
          <w:szCs w:val="32"/>
          <w:rtl/>
          <w:lang w:bidi="ar-JO"/>
        </w:rPr>
        <w:t>إجراء دراسات مقارنة</w:t>
      </w:r>
      <w:r w:rsidRPr="00B05A50">
        <w:rPr>
          <w:rFonts w:asciiTheme="minorHAnsi" w:hAnsiTheme="minorHAnsi" w:cstheme="minorHAnsi"/>
          <w:sz w:val="32"/>
          <w:szCs w:val="32"/>
          <w:lang w:bidi="ar-JO"/>
        </w:rPr>
        <w:t xml:space="preserve"> (Benchmarking) </w:t>
      </w:r>
      <w:r w:rsidRPr="00B05A50">
        <w:rPr>
          <w:rFonts w:asciiTheme="minorHAnsi" w:hAnsiTheme="minorHAnsi" w:cstheme="minorHAnsi"/>
          <w:sz w:val="32"/>
          <w:szCs w:val="32"/>
          <w:rtl/>
          <w:lang w:bidi="ar-JO"/>
        </w:rPr>
        <w:t>مع التجارب الدولية الرائدة لتبني أفضل الممارسات في قطاع النقل</w:t>
      </w:r>
      <w:r w:rsidRPr="00B05A50">
        <w:rPr>
          <w:rFonts w:asciiTheme="minorHAnsi" w:hAnsiTheme="minorHAnsi" w:cstheme="minorHAnsi"/>
          <w:sz w:val="32"/>
          <w:szCs w:val="32"/>
          <w:lang w:bidi="ar-JO"/>
        </w:rPr>
        <w:t>.</w:t>
      </w:r>
    </w:p>
    <w:p w:rsidR="00A772B5" w:rsidRPr="00E13057" w:rsidRDefault="00A772B5" w:rsidP="00E13057">
      <w:pPr>
        <w:pStyle w:val="ListParagraph"/>
        <w:numPr>
          <w:ilvl w:val="0"/>
          <w:numId w:val="7"/>
        </w:numPr>
        <w:spacing w:line="276" w:lineRule="auto"/>
        <w:rPr>
          <w:rFonts w:asciiTheme="minorHAnsi" w:hAnsiTheme="minorHAnsi" w:cstheme="minorHAnsi"/>
          <w:sz w:val="32"/>
          <w:szCs w:val="32"/>
          <w:rtl/>
          <w:lang w:bidi="ar-JO"/>
        </w:rPr>
      </w:pPr>
      <w:r w:rsidRPr="00B05A50">
        <w:rPr>
          <w:rFonts w:asciiTheme="minorHAnsi" w:hAnsiTheme="minorHAnsi" w:cstheme="minorHAnsi"/>
          <w:sz w:val="32"/>
          <w:szCs w:val="32"/>
          <w:rtl/>
          <w:lang w:bidi="ar-JO"/>
        </w:rPr>
        <w:t>إعداد الأبحاث والدراسات المتخصصة في مختلف المواضيع ذات العلاقة بقطاع النقل مثل (كفاءة قطاع النقل، كفاءة الطاقة المستخدمة في قطاع النقل).</w:t>
      </w:r>
    </w:p>
    <w:p w:rsidR="00A772B5" w:rsidRPr="00E13057" w:rsidRDefault="00A772B5" w:rsidP="00E13057">
      <w:pPr>
        <w:pStyle w:val="ListParagraph"/>
        <w:numPr>
          <w:ilvl w:val="0"/>
          <w:numId w:val="7"/>
        </w:numPr>
        <w:spacing w:line="276" w:lineRule="auto"/>
        <w:rPr>
          <w:rFonts w:asciiTheme="minorHAnsi" w:hAnsiTheme="minorHAnsi" w:cstheme="minorHAnsi"/>
          <w:sz w:val="32"/>
          <w:szCs w:val="32"/>
          <w:rtl/>
          <w:lang w:bidi="ar-JO"/>
        </w:rPr>
      </w:pPr>
      <w:r w:rsidRPr="00B05A50">
        <w:rPr>
          <w:rFonts w:asciiTheme="minorHAnsi" w:hAnsiTheme="minorHAnsi" w:cstheme="minorHAnsi"/>
          <w:sz w:val="32"/>
          <w:szCs w:val="32"/>
          <w:rtl/>
          <w:lang w:bidi="ar-JO"/>
        </w:rPr>
        <w:lastRenderedPageBreak/>
        <w:t>تقييم أثر السياسات والمشاريع المتعلقة بقطاع النقل وقياس نتائجها على الاقتصاد والبيئة والمجتمع</w:t>
      </w:r>
      <w:r w:rsidRPr="00B05A50">
        <w:rPr>
          <w:rFonts w:asciiTheme="minorHAnsi" w:hAnsiTheme="minorHAnsi" w:cstheme="minorHAnsi"/>
          <w:sz w:val="32"/>
          <w:szCs w:val="32"/>
          <w:lang w:bidi="ar-JO"/>
        </w:rPr>
        <w:t>.</w:t>
      </w:r>
    </w:p>
    <w:p w:rsidR="00A772B5" w:rsidRPr="00E13057" w:rsidRDefault="00A772B5" w:rsidP="00E13057">
      <w:pPr>
        <w:pStyle w:val="ListParagraph"/>
        <w:numPr>
          <w:ilvl w:val="0"/>
          <w:numId w:val="7"/>
        </w:numPr>
        <w:spacing w:line="276" w:lineRule="auto"/>
        <w:rPr>
          <w:rFonts w:asciiTheme="minorHAnsi" w:hAnsiTheme="minorHAnsi" w:cstheme="minorHAnsi"/>
          <w:sz w:val="32"/>
          <w:szCs w:val="32"/>
          <w:rtl/>
          <w:lang w:bidi="ar-JO"/>
        </w:rPr>
      </w:pPr>
      <w:r w:rsidRPr="00B05A50">
        <w:rPr>
          <w:rFonts w:asciiTheme="minorHAnsi" w:hAnsiTheme="minorHAnsi" w:cstheme="minorHAnsi"/>
          <w:sz w:val="32"/>
          <w:szCs w:val="32"/>
          <w:rtl/>
          <w:lang w:bidi="ar-JO"/>
        </w:rPr>
        <w:t>دعم إعداد السياسات العامة لقطاع النقل من خلال تقديم التحليلات والدراسات المبنية على الأدلة</w:t>
      </w:r>
      <w:r w:rsidRPr="00B05A50">
        <w:rPr>
          <w:rFonts w:asciiTheme="minorHAnsi" w:hAnsiTheme="minorHAnsi" w:cstheme="minorHAnsi"/>
          <w:sz w:val="32"/>
          <w:szCs w:val="32"/>
          <w:lang w:bidi="ar-JO"/>
        </w:rPr>
        <w:t>.</w:t>
      </w:r>
    </w:p>
    <w:p w:rsidR="00A772B5" w:rsidRPr="00B05A50" w:rsidRDefault="00A772B5" w:rsidP="00E13057">
      <w:pPr>
        <w:pStyle w:val="ListParagraph"/>
        <w:numPr>
          <w:ilvl w:val="0"/>
          <w:numId w:val="7"/>
        </w:numPr>
        <w:spacing w:line="276" w:lineRule="auto"/>
        <w:rPr>
          <w:rFonts w:asciiTheme="minorHAnsi" w:hAnsiTheme="minorHAnsi" w:cstheme="minorHAnsi"/>
          <w:sz w:val="32"/>
          <w:szCs w:val="32"/>
          <w:lang w:bidi="ar-JO"/>
        </w:rPr>
      </w:pPr>
      <w:r w:rsidRPr="00B05A50">
        <w:rPr>
          <w:rFonts w:asciiTheme="minorHAnsi" w:hAnsiTheme="minorHAnsi" w:cstheme="minorHAnsi"/>
          <w:sz w:val="32"/>
          <w:szCs w:val="32"/>
          <w:rtl/>
          <w:lang w:bidi="ar-JO"/>
        </w:rPr>
        <w:t>إعداد العروض التقديمية والتقارير الفنية لدعم متخذي القرار وشرح نتائج الدراسات والتوصيات</w:t>
      </w:r>
      <w:r w:rsidRPr="00B05A50">
        <w:rPr>
          <w:rFonts w:asciiTheme="minorHAnsi" w:hAnsiTheme="minorHAnsi" w:cstheme="minorHAnsi"/>
          <w:sz w:val="32"/>
          <w:szCs w:val="32"/>
          <w:lang w:bidi="ar-JO"/>
        </w:rPr>
        <w:t>.</w:t>
      </w:r>
    </w:p>
    <w:p w:rsidR="00A772B5" w:rsidRPr="00B05A50" w:rsidRDefault="00A772B5" w:rsidP="00E13057">
      <w:pPr>
        <w:bidi/>
        <w:spacing w:line="276" w:lineRule="auto"/>
        <w:ind w:left="4"/>
        <w:rPr>
          <w:rFonts w:asciiTheme="minorHAnsi" w:hAnsiTheme="minorHAnsi" w:cstheme="minorHAnsi"/>
          <w:b/>
          <w:bCs/>
          <w:color w:val="FF0000"/>
          <w:sz w:val="32"/>
          <w:szCs w:val="32"/>
          <w:u w:val="single"/>
          <w:lang w:bidi="ar-JO"/>
        </w:rPr>
      </w:pPr>
    </w:p>
    <w:p w:rsidR="00A772B5" w:rsidRPr="00B05A50" w:rsidRDefault="00A772B5" w:rsidP="00E13057">
      <w:pPr>
        <w:tabs>
          <w:tab w:val="left" w:pos="146"/>
        </w:tabs>
        <w:bidi/>
        <w:spacing w:line="276" w:lineRule="auto"/>
        <w:ind w:left="4"/>
        <w:rPr>
          <w:rFonts w:asciiTheme="minorHAnsi" w:hAnsiTheme="minorHAnsi" w:cstheme="minorHAnsi"/>
          <w:b/>
          <w:bCs/>
          <w:sz w:val="32"/>
          <w:szCs w:val="32"/>
          <w:lang w:bidi="ar-JO"/>
        </w:rPr>
      </w:pPr>
    </w:p>
    <w:p w:rsidR="00B643E0" w:rsidRPr="00E13057" w:rsidRDefault="00B643E0" w:rsidP="00E13057">
      <w:pPr>
        <w:bidi/>
        <w:jc w:val="right"/>
        <w:rPr>
          <w:rFonts w:asciiTheme="minorHAnsi" w:hAnsiTheme="minorHAnsi" w:cstheme="minorHAnsi"/>
          <w:b/>
          <w:bCs/>
          <w:color w:val="FF0000"/>
          <w:sz w:val="32"/>
          <w:szCs w:val="32"/>
          <w:rtl/>
          <w:lang w:bidi="ar-JO"/>
        </w:rPr>
      </w:pPr>
    </w:p>
    <w:sectPr w:rsidR="00B643E0" w:rsidRPr="00E13057" w:rsidSect="007743F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776" w:rsidRDefault="00291776" w:rsidP="00360136">
      <w:r>
        <w:separator/>
      </w:r>
    </w:p>
  </w:endnote>
  <w:endnote w:type="continuationSeparator" w:id="0">
    <w:p w:rsidR="00291776" w:rsidRDefault="00291776" w:rsidP="0036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776" w:rsidRDefault="00291776" w:rsidP="00360136">
      <w:r>
        <w:separator/>
      </w:r>
    </w:p>
  </w:footnote>
  <w:footnote w:type="continuationSeparator" w:id="0">
    <w:p w:rsidR="00291776" w:rsidRDefault="00291776" w:rsidP="0036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136" w:rsidRDefault="0036013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0136" w:rsidRDefault="00360136">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360136" w:rsidRDefault="00360136">
                      <w:pPr>
                        <w:pStyle w:val="Header"/>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F361E"/>
    <w:multiLevelType w:val="hybridMultilevel"/>
    <w:tmpl w:val="C504DF4A"/>
    <w:lvl w:ilvl="0" w:tplc="8C6EFB22">
      <w:start w:val="1"/>
      <w:numFmt w:val="bullet"/>
      <w:lvlText w:val=""/>
      <w:lvlJc w:val="center"/>
      <w:pPr>
        <w:ind w:left="643"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3F4F54"/>
    <w:multiLevelType w:val="hybridMultilevel"/>
    <w:tmpl w:val="8F8EDFB8"/>
    <w:lvl w:ilvl="0" w:tplc="0409000D">
      <w:start w:val="1"/>
      <w:numFmt w:val="bullet"/>
      <w:lvlText w:val=""/>
      <w:lvlJc w:val="left"/>
      <w:pPr>
        <w:ind w:left="724" w:hanging="360"/>
      </w:pPr>
      <w:rPr>
        <w:rFonts w:ascii="Wingdings" w:hAnsi="Wingdings" w:hint="default"/>
      </w:rPr>
    </w:lvl>
    <w:lvl w:ilvl="1" w:tplc="04090003">
      <w:start w:val="1"/>
      <w:numFmt w:val="bullet"/>
      <w:lvlText w:val="o"/>
      <w:lvlJc w:val="left"/>
      <w:pPr>
        <w:ind w:left="1444" w:hanging="360"/>
      </w:pPr>
      <w:rPr>
        <w:rFonts w:ascii="Courier New" w:hAnsi="Courier New" w:cs="Courier New" w:hint="default"/>
      </w:rPr>
    </w:lvl>
    <w:lvl w:ilvl="2" w:tplc="04090005">
      <w:start w:val="1"/>
      <w:numFmt w:val="bullet"/>
      <w:lvlText w:val=""/>
      <w:lvlJc w:val="left"/>
      <w:pPr>
        <w:ind w:left="2164" w:hanging="360"/>
      </w:pPr>
      <w:rPr>
        <w:rFonts w:ascii="Wingdings" w:hAnsi="Wingdings" w:hint="default"/>
      </w:rPr>
    </w:lvl>
    <w:lvl w:ilvl="3" w:tplc="04090001">
      <w:start w:val="1"/>
      <w:numFmt w:val="bullet"/>
      <w:lvlText w:val=""/>
      <w:lvlJc w:val="left"/>
      <w:pPr>
        <w:ind w:left="2884" w:hanging="360"/>
      </w:pPr>
      <w:rPr>
        <w:rFonts w:ascii="Symbol" w:hAnsi="Symbol" w:hint="default"/>
      </w:rPr>
    </w:lvl>
    <w:lvl w:ilvl="4" w:tplc="04090003">
      <w:start w:val="1"/>
      <w:numFmt w:val="bullet"/>
      <w:lvlText w:val="o"/>
      <w:lvlJc w:val="left"/>
      <w:pPr>
        <w:ind w:left="3604" w:hanging="360"/>
      </w:pPr>
      <w:rPr>
        <w:rFonts w:ascii="Courier New" w:hAnsi="Courier New" w:cs="Courier New" w:hint="default"/>
      </w:rPr>
    </w:lvl>
    <w:lvl w:ilvl="5" w:tplc="04090005">
      <w:start w:val="1"/>
      <w:numFmt w:val="bullet"/>
      <w:lvlText w:val=""/>
      <w:lvlJc w:val="left"/>
      <w:pPr>
        <w:ind w:left="4324" w:hanging="360"/>
      </w:pPr>
      <w:rPr>
        <w:rFonts w:ascii="Wingdings" w:hAnsi="Wingdings" w:hint="default"/>
      </w:rPr>
    </w:lvl>
    <w:lvl w:ilvl="6" w:tplc="04090001">
      <w:start w:val="1"/>
      <w:numFmt w:val="bullet"/>
      <w:lvlText w:val=""/>
      <w:lvlJc w:val="left"/>
      <w:pPr>
        <w:ind w:left="5044" w:hanging="360"/>
      </w:pPr>
      <w:rPr>
        <w:rFonts w:ascii="Symbol" w:hAnsi="Symbol" w:hint="default"/>
      </w:rPr>
    </w:lvl>
    <w:lvl w:ilvl="7" w:tplc="04090003">
      <w:start w:val="1"/>
      <w:numFmt w:val="bullet"/>
      <w:lvlText w:val="o"/>
      <w:lvlJc w:val="left"/>
      <w:pPr>
        <w:ind w:left="5764" w:hanging="360"/>
      </w:pPr>
      <w:rPr>
        <w:rFonts w:ascii="Courier New" w:hAnsi="Courier New" w:cs="Courier New" w:hint="default"/>
      </w:rPr>
    </w:lvl>
    <w:lvl w:ilvl="8" w:tplc="04090005">
      <w:start w:val="1"/>
      <w:numFmt w:val="bullet"/>
      <w:lvlText w:val=""/>
      <w:lvlJc w:val="left"/>
      <w:pPr>
        <w:ind w:left="6484" w:hanging="360"/>
      </w:pPr>
      <w:rPr>
        <w:rFonts w:ascii="Wingdings" w:hAnsi="Wingdings" w:hint="default"/>
      </w:rPr>
    </w:lvl>
  </w:abstractNum>
  <w:abstractNum w:abstractNumId="2" w15:restartNumberingAfterBreak="0">
    <w:nsid w:val="3FC36F78"/>
    <w:multiLevelType w:val="hybridMultilevel"/>
    <w:tmpl w:val="5CEE6F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20423"/>
    <w:multiLevelType w:val="hybridMultilevel"/>
    <w:tmpl w:val="A49A3246"/>
    <w:lvl w:ilvl="0" w:tplc="8C6EFB22">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64388F"/>
    <w:multiLevelType w:val="hybridMultilevel"/>
    <w:tmpl w:val="0FAC7BE2"/>
    <w:lvl w:ilvl="0" w:tplc="8C6EFB22">
      <w:start w:val="1"/>
      <w:numFmt w:val="bullet"/>
      <w:lvlText w:val=""/>
      <w:lvlJc w:val="center"/>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4B35AB8"/>
    <w:multiLevelType w:val="hybridMultilevel"/>
    <w:tmpl w:val="59C0B382"/>
    <w:lvl w:ilvl="0" w:tplc="8C6EFB22">
      <w:start w:val="1"/>
      <w:numFmt w:val="bullet"/>
      <w:lvlText w:val=""/>
      <w:lvlJc w:val="center"/>
      <w:pPr>
        <w:ind w:left="720" w:hanging="360"/>
      </w:pPr>
      <w:rPr>
        <w:rFonts w:ascii="Wingdings" w:hAnsi="Wingdings" w:hint="default"/>
      </w:rPr>
    </w:lvl>
    <w:lvl w:ilvl="1" w:tplc="8C6EFB22">
      <w:start w:val="1"/>
      <w:numFmt w:val="bullet"/>
      <w:lvlText w:val=""/>
      <w:lvlJc w:val="center"/>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ED74AFD"/>
    <w:multiLevelType w:val="hybridMultilevel"/>
    <w:tmpl w:val="6AFA508E"/>
    <w:lvl w:ilvl="0" w:tplc="8C6EFB22">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36"/>
    <w:rsid w:val="002826D1"/>
    <w:rsid w:val="00291776"/>
    <w:rsid w:val="00360136"/>
    <w:rsid w:val="00386D29"/>
    <w:rsid w:val="003D1922"/>
    <w:rsid w:val="00503827"/>
    <w:rsid w:val="007124AD"/>
    <w:rsid w:val="0075064B"/>
    <w:rsid w:val="007743F2"/>
    <w:rsid w:val="007F5E3A"/>
    <w:rsid w:val="008C6EF2"/>
    <w:rsid w:val="008E3E0A"/>
    <w:rsid w:val="00944F4B"/>
    <w:rsid w:val="00A27011"/>
    <w:rsid w:val="00A772B5"/>
    <w:rsid w:val="00A834DA"/>
    <w:rsid w:val="00AA22C5"/>
    <w:rsid w:val="00AB3FAA"/>
    <w:rsid w:val="00B05A50"/>
    <w:rsid w:val="00B643E0"/>
    <w:rsid w:val="00BC3CB0"/>
    <w:rsid w:val="00CD1E9C"/>
    <w:rsid w:val="00CE3EB4"/>
    <w:rsid w:val="00CF7A99"/>
    <w:rsid w:val="00D56140"/>
    <w:rsid w:val="00E13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9BEFFC-298E-492C-A83C-FEA33F90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E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136"/>
    <w:pPr>
      <w:tabs>
        <w:tab w:val="center" w:pos="4320"/>
        <w:tab w:val="right" w:pos="8640"/>
      </w:tabs>
    </w:pPr>
  </w:style>
  <w:style w:type="character" w:customStyle="1" w:styleId="HeaderChar">
    <w:name w:val="Header Char"/>
    <w:basedOn w:val="DefaultParagraphFont"/>
    <w:link w:val="Header"/>
    <w:uiPriority w:val="99"/>
    <w:rsid w:val="00360136"/>
  </w:style>
  <w:style w:type="paragraph" w:styleId="Footer">
    <w:name w:val="footer"/>
    <w:basedOn w:val="Normal"/>
    <w:link w:val="FooterChar"/>
    <w:uiPriority w:val="99"/>
    <w:unhideWhenUsed/>
    <w:rsid w:val="00360136"/>
    <w:pPr>
      <w:tabs>
        <w:tab w:val="center" w:pos="4320"/>
        <w:tab w:val="right" w:pos="8640"/>
      </w:tabs>
    </w:pPr>
  </w:style>
  <w:style w:type="character" w:customStyle="1" w:styleId="FooterChar">
    <w:name w:val="Footer Char"/>
    <w:basedOn w:val="DefaultParagraphFont"/>
    <w:link w:val="Footer"/>
    <w:uiPriority w:val="99"/>
    <w:rsid w:val="00360136"/>
  </w:style>
  <w:style w:type="paragraph" w:styleId="BodyText">
    <w:name w:val="Body Text"/>
    <w:basedOn w:val="Normal"/>
    <w:link w:val="BodyTextChar"/>
    <w:uiPriority w:val="99"/>
    <w:semiHidden/>
    <w:unhideWhenUsed/>
    <w:rsid w:val="00A27011"/>
    <w:pPr>
      <w:bidi/>
      <w:jc w:val="lowKashida"/>
    </w:pPr>
    <w:rPr>
      <w:rFonts w:ascii="Times New Roman" w:hAnsi="Times New Roman" w:cs="Times New Roman"/>
      <w:sz w:val="28"/>
      <w:szCs w:val="28"/>
      <w:lang w:eastAsia="ar-SA"/>
    </w:rPr>
  </w:style>
  <w:style w:type="character" w:customStyle="1" w:styleId="BodyTextChar">
    <w:name w:val="Body Text Char"/>
    <w:basedOn w:val="DefaultParagraphFont"/>
    <w:link w:val="BodyText"/>
    <w:uiPriority w:val="99"/>
    <w:semiHidden/>
    <w:rsid w:val="00A27011"/>
    <w:rPr>
      <w:rFonts w:ascii="Times New Roman" w:hAnsi="Times New Roman" w:cs="Times New Roman"/>
      <w:sz w:val="28"/>
      <w:szCs w:val="28"/>
      <w:lang w:eastAsia="ar-SA"/>
    </w:rPr>
  </w:style>
  <w:style w:type="paragraph" w:styleId="ListParagraph">
    <w:name w:val="List Paragraph"/>
    <w:basedOn w:val="Normal"/>
    <w:uiPriority w:val="34"/>
    <w:qFormat/>
    <w:rsid w:val="00A27011"/>
    <w:pPr>
      <w:bidi/>
      <w:ind w:left="720"/>
      <w:contextualSpacing/>
      <w:jc w:val="lowKashida"/>
    </w:pPr>
    <w:rPr>
      <w:rFonts w:ascii="Times New Roman" w:hAnsi="Times New Roman" w:cs="Times New Roman"/>
      <w:sz w:val="28"/>
      <w:szCs w:val="28"/>
    </w:rPr>
  </w:style>
  <w:style w:type="table" w:styleId="TableGrid">
    <w:name w:val="Table Grid"/>
    <w:basedOn w:val="TableNormal"/>
    <w:uiPriority w:val="39"/>
    <w:rsid w:val="00AA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743F2"/>
    <w:pPr>
      <w:spacing w:after="0" w:line="240" w:lineRule="auto"/>
    </w:pPr>
    <w:rPr>
      <w:rFonts w:eastAsiaTheme="minorEastAsia"/>
    </w:rPr>
  </w:style>
  <w:style w:type="character" w:customStyle="1" w:styleId="NoSpacingChar">
    <w:name w:val="No Spacing Char"/>
    <w:basedOn w:val="DefaultParagraphFont"/>
    <w:link w:val="NoSpacing"/>
    <w:uiPriority w:val="1"/>
    <w:rsid w:val="007743F2"/>
    <w:rPr>
      <w:rFonts w:eastAsiaTheme="minorEastAsia"/>
    </w:rPr>
  </w:style>
  <w:style w:type="paragraph" w:styleId="BalloonText">
    <w:name w:val="Balloon Text"/>
    <w:basedOn w:val="Normal"/>
    <w:link w:val="BalloonTextChar"/>
    <w:uiPriority w:val="99"/>
    <w:semiHidden/>
    <w:unhideWhenUsed/>
    <w:rsid w:val="00944F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248406">
      <w:bodyDiv w:val="1"/>
      <w:marLeft w:val="0"/>
      <w:marRight w:val="0"/>
      <w:marTop w:val="0"/>
      <w:marBottom w:val="0"/>
      <w:divBdr>
        <w:top w:val="none" w:sz="0" w:space="0" w:color="auto"/>
        <w:left w:val="none" w:sz="0" w:space="0" w:color="auto"/>
        <w:bottom w:val="none" w:sz="0" w:space="0" w:color="auto"/>
        <w:right w:val="none" w:sz="0" w:space="0" w:color="auto"/>
      </w:divBdr>
    </w:div>
    <w:div w:id="20090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M. Abushaqra</dc:creator>
  <cp:keywords/>
  <dc:description/>
  <cp:lastModifiedBy>Manal M. Abushaqra</cp:lastModifiedBy>
  <cp:revision>5</cp:revision>
  <cp:lastPrinted>2026-05-06T09:22:00Z</cp:lastPrinted>
  <dcterms:created xsi:type="dcterms:W3CDTF">2026-05-03T12:04:00Z</dcterms:created>
  <dcterms:modified xsi:type="dcterms:W3CDTF">2026-05-06T09:25:00Z</dcterms:modified>
</cp:coreProperties>
</file>